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6.7  ·  SECTION 6: ISO 20000 IN THE INDONESIAN CONTEXT</w:t>
      </w:r>
    </w:p>
    <w:p>
      <w:pPr>
        <w:spacing w:after="120"/>
      </w:pPr>
      <w:r>
        <w:rPr>
          <w:rFonts w:ascii="Arial" w:cs="Arial" w:eastAsia="Arial" w:hAnsi="Arial"/>
          <w:b/>
          <w:bCs/>
          <w:caps w:val="false"/>
          <w:color w:val="1B3A5C"/>
          <w:sz w:val="44"/>
          <w:szCs w:val="44"/>
        </w:rPr>
        <w:t xml:space="preserve">ISO 20000 and Government Procurement: Winning and Retaining Public Sector IT Contracts</w:t>
      </w:r>
    </w:p>
    <w:p>
      <w:pPr>
        <w:spacing w:after="60"/>
      </w:pPr>
      <w:r>
        <w:rPr>
          <w:rFonts w:ascii="Georgia" w:cs="Georgia" w:eastAsia="Georgia" w:hAnsi="Georgia"/>
          <w:b w:val="false"/>
          <w:bCs w:val="false"/>
          <w:color w:val="4B5563"/>
          <w:sz w:val="24"/>
          <w:szCs w:val="24"/>
        </w:rPr>
        <w:t xml:space="preserve">How ISO 20000 certification strengthens government and BUMN procurement eligibility — IT service management requirements in K/L and BUMN tenders, SIKAP registration with ISO 20000 certification, post-PDNS service management expectations, and how to present SMS capability in government RFP responses.</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Government Procurement Opportunity</w:t>
      </w:r>
    </w:p>
    <w:p>
      <w:pPr>
        <w:spacing w:after="160" w:line="320"/>
        <w:jc w:val="both"/>
      </w:pPr>
      <w:r>
        <w:rPr>
          <w:rFonts w:ascii="Georgia" w:cs="Georgia" w:eastAsia="Georgia" w:hAnsi="Georgia"/>
          <w:b w:val="false"/>
          <w:bCs w:val="false"/>
          <w:color w:val="111827"/>
          <w:sz w:val="22"/>
          <w:szCs w:val="22"/>
        </w:rPr>
        <w:t xml:space="preserve">Indonesian government IT spending across K/L (Kementerian/Lembaga — government ministries and agencies) and BUMN (Badan Usaha Milik Negara — state-owned enterprises) is substantial and growing with the SPBE digital government program. The PDNS incident of July 2024 accelerated government investment in IT infrastructure modernization and IT service management capability. Government procurement budgets for IT services are expected to grow 15-25% annually over the next 3-5 years.</w:t>
      </w:r>
    </w:p>
    <w:p>
      <w:pPr>
        <w:spacing w:after="160" w:line="320"/>
        <w:jc w:val="both"/>
      </w:pPr>
      <w:r>
        <w:rPr>
          <w:rFonts w:ascii="Georgia" w:cs="Georgia" w:eastAsia="Georgia" w:hAnsi="Georgia"/>
          <w:b w:val="false"/>
          <w:bCs w:val="false"/>
          <w:color w:val="111827"/>
          <w:sz w:val="22"/>
          <w:szCs w:val="22"/>
        </w:rPr>
        <w:t xml:space="preserve">The post-PDNS environment has intensified scrutiny of IT service management capability in government IT supplier evaluation. Government procurement criteria now routinely include IT service management certification requirements that were less common before the incident. For IT service providers, this creates a differentiated opportunity: suppliers with ISO 20000 certification qualify for procurement opportunities that uncertified competitors cannot access.</w:t>
      </w:r>
    </w:p>
    <w:p>
      <w:pPr>
        <w:pBdr>
          <w:bottom w:val="single" w:color="2563A8" w:sz="4" w:space="4"/>
        </w:pBdr>
        <w:spacing w:after="160" w:before="400"/>
      </w:pPr>
      <w:r>
        <w:rPr>
          <w:rFonts w:ascii="Arial" w:cs="Arial" w:eastAsia="Arial" w:hAnsi="Arial"/>
          <w:b/>
          <w:bCs/>
          <w:caps w:val="false"/>
          <w:color w:val="1B3A5C"/>
          <w:sz w:val="28"/>
          <w:szCs w:val="28"/>
        </w:rPr>
        <w:t xml:space="preserve">How Government Procurement Works in Indonesia</w:t>
      </w:r>
    </w:p>
    <w:p>
      <w:pPr>
        <w:spacing w:after="80" w:before="200"/>
      </w:pPr>
      <w:r>
        <w:rPr>
          <w:rFonts w:ascii="Arial" w:cs="Arial" w:eastAsia="Arial" w:hAnsi="Arial"/>
          <w:b/>
          <w:bCs/>
          <w:caps w:val="false"/>
          <w:color w:val="1B3A5C"/>
          <w:sz w:val="22"/>
          <w:szCs w:val="22"/>
        </w:rPr>
        <w:t xml:space="preserve">LKPP Framework and Procurement Processes</w:t>
      </w:r>
    </w:p>
    <w:p>
      <w:pPr>
        <w:spacing w:after="160" w:line="320"/>
        <w:jc w:val="both"/>
      </w:pPr>
      <w:r>
        <w:rPr>
          <w:rFonts w:ascii="Georgia" w:cs="Georgia" w:eastAsia="Georgia" w:hAnsi="Georgia"/>
          <w:b w:val="false"/>
          <w:bCs w:val="false"/>
          <w:color w:val="111827"/>
          <w:sz w:val="22"/>
          <w:szCs w:val="22"/>
        </w:rPr>
        <w:t xml:space="preserve">Government and BUMN procurement operates under the framework established by the Lembaga Kebijakan Pengadaan Barang/Jasa Pemerintah (LKPP). Procurement processes are classified by contract value: pengadaan langsung (direct procurement) for small contracts (typically &lt; IDR 200 million); seleksi (competitive procurement) for medium contracts; tender for large contracts and strategic procurements.</w:t>
      </w:r>
    </w:p>
    <w:p>
      <w:pPr>
        <w:spacing w:after="160" w:line="320"/>
        <w:jc w:val="both"/>
      </w:pPr>
      <w:r>
        <w:rPr>
          <w:rFonts w:ascii="Georgia" w:cs="Georgia" w:eastAsia="Georgia" w:hAnsi="Georgia"/>
          <w:b w:val="false"/>
          <w:bCs w:val="false"/>
          <w:color w:val="111827"/>
          <w:sz w:val="22"/>
          <w:szCs w:val="22"/>
        </w:rPr>
        <w:t xml:space="preserve">Each procurement method has different evaluation procedures. Direct procurement typically evaluates a single qualified vendor or a small pool of pre-approved vendors. Competitive procurement evaluates multiple bidders against published criteria. Tender is open competitive bidding with published evaluation criteria and scoring methodology.</w:t>
      </w:r>
    </w:p>
    <w:p>
      <w:pPr>
        <w:spacing w:after="80" w:before="200"/>
      </w:pPr>
      <w:r>
        <w:rPr>
          <w:rFonts w:ascii="Arial" w:cs="Arial" w:eastAsia="Arial" w:hAnsi="Arial"/>
          <w:b/>
          <w:bCs/>
          <w:caps w:val="false"/>
          <w:color w:val="1B3A5C"/>
          <w:sz w:val="22"/>
          <w:szCs w:val="22"/>
        </w:rPr>
        <w:t xml:space="preserve">SIKAP Vendor Registration</w:t>
      </w:r>
    </w:p>
    <w:p>
      <w:pPr>
        <w:spacing w:after="160" w:line="320"/>
        <w:jc w:val="both"/>
      </w:pPr>
      <w:r>
        <w:rPr>
          <w:rFonts w:ascii="Georgia" w:cs="Georgia" w:eastAsia="Georgia" w:hAnsi="Georgia"/>
          <w:b w:val="false"/>
          <w:bCs w:val="false"/>
          <w:color w:val="111827"/>
          <w:sz w:val="22"/>
          <w:szCs w:val="22"/>
        </w:rPr>
        <w:t xml:space="preserve">The SIKAP system (Sistem Informasi Kinerja Penyedia — Vendor Performance Information System) is the government pre-qualification registry. Government procurement officers check SIKAP to verify vendor registration and to view vendor qualifications, certifications, and past performance.</w:t>
      </w:r>
    </w:p>
    <w:p>
      <w:pPr>
        <w:spacing w:after="160" w:line="320"/>
        <w:jc w:val="both"/>
      </w:pPr>
      <w:r>
        <w:rPr>
          <w:rFonts w:ascii="Georgia" w:cs="Georgia" w:eastAsia="Georgia" w:hAnsi="Georgia"/>
          <w:b w:val="false"/>
          <w:bCs w:val="false"/>
          <w:color w:val="111827"/>
          <w:sz w:val="22"/>
          <w:szCs w:val="22"/>
        </w:rPr>
        <w:t xml:space="preserve">Vendors must register in SIKAP and must maintain current certifications and qualifications to remain eligible for government procurement. ISO 20000 certification is explicitly recognized in SIKAP as a qualifying credential for IT service providers. Vendors with current ISO 20000 certification receive higher qualification tier designation in SIKAP, improving procurement visibility and eligibility.</w:t>
      </w:r>
    </w:p>
    <w:p>
      <w:pPr>
        <w:spacing w:after="80" w:before="200"/>
      </w:pPr>
      <w:r>
        <w:rPr>
          <w:rFonts w:ascii="Arial" w:cs="Arial" w:eastAsia="Arial" w:hAnsi="Arial"/>
          <w:b/>
          <w:bCs/>
          <w:caps w:val="false"/>
          <w:color w:val="1B3A5C"/>
          <w:sz w:val="22"/>
          <w:szCs w:val="22"/>
        </w:rPr>
        <w:t xml:space="preserve">SBU (Sertifikasi Badan Usaha) Requirements</w:t>
      </w:r>
    </w:p>
    <w:p>
      <w:pPr>
        <w:spacing w:after="160" w:line="320"/>
        <w:jc w:val="both"/>
      </w:pPr>
      <w:r>
        <w:rPr>
          <w:rFonts w:ascii="Georgia" w:cs="Georgia" w:eastAsia="Georgia" w:hAnsi="Georgia"/>
          <w:b w:val="false"/>
          <w:bCs w:val="false"/>
          <w:color w:val="111827"/>
          <w:sz w:val="22"/>
          <w:szCs w:val="22"/>
        </w:rPr>
        <w:t xml:space="preserve">Large government procurement often requires SBU (Sertifikasi Badan Usaha — Business Certification) qualification from the Chamber of Commerce. SBU certification requires, among other criteria, that companies maintain relevant industry certifications including ISO certifications. ISO 20000 certification is an explicit SBU qualification criterion for IT service providers.</w:t>
      </w:r>
    </w:p>
    <w:p>
      <w:pPr>
        <w:pBdr>
          <w:bottom w:val="single" w:color="2563A8" w:sz="4" w:space="4"/>
        </w:pBdr>
        <w:spacing w:after="160" w:before="400"/>
      </w:pPr>
      <w:r>
        <w:rPr>
          <w:rFonts w:ascii="Arial" w:cs="Arial" w:eastAsia="Arial" w:hAnsi="Arial"/>
          <w:b/>
          <w:bCs/>
          <w:caps w:val="false"/>
          <w:color w:val="1B3A5C"/>
          <w:sz w:val="28"/>
          <w:szCs w:val="28"/>
        </w:rPr>
        <w:t xml:space="preserve">Tender Evaluation Criteria for IT Service Management</w:t>
      </w:r>
    </w:p>
    <w:p>
      <w:pPr>
        <w:spacing w:after="80" w:before="200"/>
      </w:pPr>
      <w:r>
        <w:rPr>
          <w:rFonts w:ascii="Arial" w:cs="Arial" w:eastAsia="Arial" w:hAnsi="Arial"/>
          <w:b/>
          <w:bCs/>
          <w:caps w:val="false"/>
          <w:color w:val="1B3A5C"/>
          <w:sz w:val="22"/>
          <w:szCs w:val="22"/>
        </w:rPr>
        <w:t xml:space="preserve">Technical Qualification as Pass/Fail Criterion</w:t>
      </w:r>
    </w:p>
    <w:p>
      <w:pPr>
        <w:spacing w:after="160" w:line="320"/>
        <w:jc w:val="both"/>
      </w:pPr>
      <w:r>
        <w:rPr>
          <w:rFonts w:ascii="Georgia" w:cs="Georgia" w:eastAsia="Georgia" w:hAnsi="Georgia"/>
          <w:b w:val="false"/>
          <w:bCs w:val="false"/>
          <w:color w:val="111827"/>
          <w:sz w:val="22"/>
          <w:szCs w:val="22"/>
        </w:rPr>
        <w:t xml:space="preserve">Many government IT service tenders specify IT service management certification as a pass/fail qualification requirement. For example: "Tenderer must have ISO 20000 certification issued within the past three years. Alternative SMS capability may be proposed for evaluator assessment with supporting documentation." Tenderers without ISO 20000 certification must either provide detailed documentation of equivalent SMS capability or risk being disqualified before detailed proposal evaluation.</w:t>
      </w:r>
    </w:p>
    <w:p>
      <w:pPr>
        <w:spacing w:after="160" w:line="320"/>
        <w:jc w:val="both"/>
      </w:pPr>
      <w:r>
        <w:rPr>
          <w:rFonts w:ascii="Georgia" w:cs="Georgia" w:eastAsia="Georgia" w:hAnsi="Georgia"/>
          <w:b w:val="false"/>
          <w:bCs w:val="false"/>
          <w:color w:val="111827"/>
          <w:sz w:val="22"/>
          <w:szCs w:val="22"/>
        </w:rPr>
        <w:t xml:space="preserve">ISO 20000 certification eliminates this risk. A current certificate satisfies the pass/fail requirement immediately; no alternative documentation is needed. Uncertified competitors bear the burden of demonstrating equivalence.</w:t>
      </w:r>
    </w:p>
    <w:p>
      <w:pPr>
        <w:spacing w:after="80" w:before="200"/>
      </w:pPr>
      <w:r>
        <w:rPr>
          <w:rFonts w:ascii="Arial" w:cs="Arial" w:eastAsia="Arial" w:hAnsi="Arial"/>
          <w:b/>
          <w:bCs/>
          <w:caps w:val="false"/>
          <w:color w:val="1B3A5C"/>
          <w:sz w:val="22"/>
          <w:szCs w:val="22"/>
        </w:rPr>
        <w:t xml:space="preserve">Technical Evaluation Scoring</w:t>
      </w:r>
    </w:p>
    <w:p>
      <w:pPr>
        <w:spacing w:after="160" w:line="320"/>
        <w:jc w:val="both"/>
      </w:pPr>
      <w:r>
        <w:rPr>
          <w:rFonts w:ascii="Georgia" w:cs="Georgia" w:eastAsia="Georgia" w:hAnsi="Georgia"/>
          <w:b w:val="false"/>
          <w:bCs w:val="false"/>
          <w:color w:val="111827"/>
          <w:sz w:val="22"/>
          <w:szCs w:val="22"/>
        </w:rPr>
        <w:t xml:space="preserve">Some tenders include IT service management capability as a weighted technical evaluation criterion rather than a pass/fail requirement. The evaluation scoring might specify: "ISO 20000 certification: 0 or 20 points (0 = no certification; 20 = current ISO 20000 certificate); alternative SMS demonstrated: 0-15 points based on evaluator assessment."</w:t>
      </w:r>
    </w:p>
    <w:p>
      <w:pPr>
        <w:spacing w:after="160" w:line="320"/>
        <w:jc w:val="both"/>
      </w:pPr>
      <w:r>
        <w:rPr>
          <w:rFonts w:ascii="Georgia" w:cs="Georgia" w:eastAsia="Georgia" w:hAnsi="Georgia"/>
          <w:b w:val="false"/>
          <w:bCs w:val="false"/>
          <w:color w:val="111827"/>
          <w:sz w:val="22"/>
          <w:szCs w:val="22"/>
        </w:rPr>
        <w:t xml:space="preserve">Under this scoring structure, ISO 20000 certification guarantees maximum points for this criterion. Uncertified competitors face the evaluator discretion of how many points to award for alternative SMS documentation, which typically scores lower than certification due to evaluator skepticism about unverified claims.</w:t>
      </w:r>
    </w:p>
    <w:p>
      <w:pPr>
        <w:spacing w:after="80" w:before="200"/>
      </w:pPr>
      <w:r>
        <w:rPr>
          <w:rFonts w:ascii="Arial" w:cs="Arial" w:eastAsia="Arial" w:hAnsi="Arial"/>
          <w:b/>
          <w:bCs/>
          <w:caps w:val="false"/>
          <w:color w:val="1B3A5C"/>
          <w:sz w:val="22"/>
          <w:szCs w:val="22"/>
        </w:rPr>
        <w:t xml:space="preserve">Methodology and Process Evaluation</w:t>
      </w:r>
    </w:p>
    <w:p>
      <w:pPr>
        <w:spacing w:after="160" w:line="320"/>
        <w:jc w:val="both"/>
      </w:pPr>
      <w:r>
        <w:rPr>
          <w:rFonts w:ascii="Georgia" w:cs="Georgia" w:eastAsia="Georgia" w:hAnsi="Georgia"/>
          <w:b w:val="false"/>
          <w:bCs w:val="false"/>
          <w:color w:val="111827"/>
          <w:sz w:val="22"/>
          <w:szCs w:val="22"/>
        </w:rPr>
        <w:t xml:space="preserve">Tenders typically require tenderers to describe their service management methodology — how the tenderer will detect and respond to incidents, how changes will be managed, how availability will be monitored. The methodology section of a tender response must connect ISO 20000 SMS design to the specific service requirements in the tender.</w:t>
      </w:r>
    </w:p>
    <w:p>
      <w:pPr>
        <w:spacing w:after="160" w:line="320"/>
        <w:jc w:val="both"/>
      </w:pPr>
      <w:r>
        <w:rPr>
          <w:rFonts w:ascii="Georgia" w:cs="Georgia" w:eastAsia="Georgia" w:hAnsi="Georgia"/>
          <w:b w:val="false"/>
          <w:bCs w:val="false"/>
          <w:color w:val="111827"/>
          <w:sz w:val="22"/>
          <w:szCs w:val="22"/>
        </w:rPr>
        <w:t xml:space="preserve">A well-drafted methodology section demonstrates practice maturity through concrete examples and performance data. For example: "Incident management procedure: incidents are detected through 24x7 monitoring, categorized by severity using the classification in Appendix A, and escalated according to the escalation matrix in Appendix B. Historical incident data from past government projects shows that 95% of Priority 1 incidents are resolved within the 4-hour SLA; incident root cause analysis is completed within 5 business days; corrective action closure rate is 92% within 30 days."</w:t>
      </w:r>
    </w:p>
    <w:p>
      <w:pPr>
        <w:pBdr>
          <w:bottom w:val="single" w:color="2563A8" w:sz="4" w:space="4"/>
        </w:pBdr>
        <w:spacing w:after="160" w:before="400"/>
      </w:pPr>
      <w:r>
        <w:rPr>
          <w:rFonts w:ascii="Arial" w:cs="Arial" w:eastAsia="Arial" w:hAnsi="Arial"/>
          <w:b/>
          <w:bCs/>
          <w:caps w:val="false"/>
          <w:color w:val="1B3A5C"/>
          <w:sz w:val="28"/>
          <w:szCs w:val="28"/>
        </w:rPr>
        <w:t xml:space="preserve">SIKAP Registration and ISO 20000</w:t>
      </w:r>
    </w:p>
    <w:p>
      <w:pPr>
        <w:spacing w:after="160" w:line="320"/>
        <w:jc w:val="both"/>
      </w:pPr>
      <w:r>
        <w:rPr>
          <w:rFonts w:ascii="Georgia" w:cs="Georgia" w:eastAsia="Georgia" w:hAnsi="Georgia"/>
          <w:b w:val="false"/>
          <w:bCs w:val="false"/>
          <w:color w:val="111827"/>
          <w:sz w:val="22"/>
          <w:szCs w:val="22"/>
        </w:rPr>
        <w:t xml:space="preserve">SIKAP registration is the first step in government procurement eligibility. Vendors must create an account in SIKAP, provide company information, and register their certifications. ISO 20000 certification, once registered in SIKAP, is visible to all government procurement officers and is weighted in SIKAP's vendor rating algorithm.</w:t>
      </w:r>
    </w:p>
    <w:p>
      <w:pPr>
        <w:spacing w:after="160" w:line="320"/>
        <w:jc w:val="both"/>
      </w:pPr>
      <w:r>
        <w:rPr>
          <w:rFonts w:ascii="Georgia" w:cs="Georgia" w:eastAsia="Georgia" w:hAnsi="Georgia"/>
          <w:b w:val="false"/>
          <w:bCs w:val="false"/>
          <w:color w:val="111827"/>
          <w:sz w:val="22"/>
          <w:szCs w:val="22"/>
        </w:rPr>
        <w:t xml:space="preserve">Maintaining current SIKAP registration requires that vendors update their certifications within specified timeframes after certificate renewal. A lapsed ISO 20000 certificate creates a gap in SIKAP qualification that must be remediated immediately upon certificate renewal.</w:t>
      </w:r>
    </w:p>
    <w:p>
      <w:pPr>
        <w:pBdr>
          <w:bottom w:val="single" w:color="2563A8" w:sz="4" w:space="4"/>
        </w:pBdr>
        <w:spacing w:after="160" w:before="400"/>
      </w:pPr>
      <w:r>
        <w:rPr>
          <w:rFonts w:ascii="Arial" w:cs="Arial" w:eastAsia="Arial" w:hAnsi="Arial"/>
          <w:b/>
          <w:bCs/>
          <w:caps w:val="false"/>
          <w:color w:val="1B3A5C"/>
          <w:sz w:val="28"/>
          <w:szCs w:val="28"/>
        </w:rPr>
        <w:t xml:space="preserve">Post-PDNS Service Management Expectations</w:t>
      </w:r>
    </w:p>
    <w:p>
      <w:pPr>
        <w:spacing w:after="160" w:line="320"/>
        <w:jc w:val="both"/>
      </w:pPr>
      <w:r>
        <w:rPr>
          <w:rFonts w:ascii="Georgia" w:cs="Georgia" w:eastAsia="Georgia" w:hAnsi="Georgia"/>
          <w:b w:val="false"/>
          <w:bCs w:val="false"/>
          <w:color w:val="111827"/>
          <w:sz w:val="22"/>
          <w:szCs w:val="22"/>
        </w:rPr>
        <w:t xml:space="preserve">The PDNS ransomware incident created heightened government focus on IT service management and security maturity. Post-PDNS government IT procurement includes explicit requirements for:</w:t>
      </w:r>
    </w:p>
    <w:p>
      <w:pPr>
        <w:spacing w:after="160" w:line="320"/>
        <w:jc w:val="both"/>
      </w:pPr>
      <w:r>
        <w:rPr>
          <w:rFonts w:ascii="Georgia" w:cs="Georgia" w:eastAsia="Georgia" w:hAnsi="Georgia"/>
          <w:b w:val="false"/>
          <w:bCs w:val="false"/>
          <w:color w:val="111827"/>
          <w:sz w:val="22"/>
          <w:szCs w:val="22"/>
        </w:rPr>
        <w:t xml:space="preserve">Incident response capability and timeliness. Tenderers must demonstrate that incident detection, categorization, escalation, and response timelines are documented and have been validated through past project experience. ISO 20000 incident management procedure and incident case files provide credible evidence.</w:t>
      </w:r>
    </w:p>
    <w:p>
      <w:pPr>
        <w:spacing w:after="160" w:line="320"/>
        <w:jc w:val="both"/>
      </w:pPr>
      <w:r>
        <w:rPr>
          <w:rFonts w:ascii="Georgia" w:cs="Georgia" w:eastAsia="Georgia" w:hAnsi="Georgia"/>
          <w:b w:val="false"/>
          <w:bCs w:val="false"/>
          <w:color w:val="111827"/>
          <w:sz w:val="22"/>
          <w:szCs w:val="22"/>
        </w:rPr>
        <w:t xml:space="preserve">Change management discipline. Tenders require documented change authorization processes, impact assessment, testing, and rollback capability. ISO 20000 change management procedures and change logs demonstrate this discipline.</w:t>
      </w:r>
    </w:p>
    <w:p>
      <w:pPr>
        <w:spacing w:after="160" w:line="320"/>
        <w:jc w:val="both"/>
      </w:pPr>
      <w:r>
        <w:rPr>
          <w:rFonts w:ascii="Georgia" w:cs="Georgia" w:eastAsia="Georgia" w:hAnsi="Georgia"/>
          <w:b w:val="false"/>
          <w:bCs w:val="false"/>
          <w:color w:val="111827"/>
          <w:sz w:val="22"/>
          <w:szCs w:val="22"/>
        </w:rPr>
        <w:t xml:space="preserve">Service continuity and disaster recovery planning. Tenders require RTO/RPO commitment and documented testing results. ISO 20000 and ISO 22301 continuity procedures and test reports demonstrate capability.</w:t>
      </w:r>
    </w:p>
    <w:p>
      <w:pPr>
        <w:spacing w:after="160" w:line="320"/>
        <w:jc w:val="both"/>
      </w:pPr>
      <w:r>
        <w:rPr>
          <w:rFonts w:ascii="Georgia" w:cs="Georgia" w:eastAsia="Georgia" w:hAnsi="Georgia"/>
          <w:b w:val="false"/>
          <w:bCs w:val="false"/>
          <w:color w:val="111827"/>
          <w:sz w:val="22"/>
          <w:szCs w:val="22"/>
        </w:rPr>
        <w:t xml:space="preserve">Configuration management and asset tracking. Tenders require CMDB or equivalent CI tracking demonstrating infrastructure visibility. ISO 20000 configuration management and CMDB demonstrate this capability.</w:t>
      </w:r>
    </w:p>
    <w:p>
      <w:pPr>
        <w:spacing w:after="160" w:line="320"/>
        <w:jc w:val="both"/>
      </w:pPr>
      <w:r>
        <w:rPr>
          <w:rFonts w:ascii="Georgia" w:cs="Georgia" w:eastAsia="Georgia" w:hAnsi="Georgia"/>
          <w:b w:val="false"/>
          <w:bCs w:val="false"/>
          <w:color w:val="111827"/>
          <w:sz w:val="22"/>
          <w:szCs w:val="22"/>
        </w:rPr>
        <w:t xml:space="preserve">These requirements are all addressed by the ISO 20000 certified SMS. Post-PDNS, ISO 20000 certification is the strongest credential a government IT supplier can offer.</w:t>
      </w:r>
    </w:p>
    <w:p>
      <w:pPr>
        <w:pBdr>
          <w:bottom w:val="single" w:color="2563A8" w:sz="4" w:space="4"/>
        </w:pBdr>
        <w:spacing w:after="160" w:before="400"/>
      </w:pPr>
      <w:r>
        <w:rPr>
          <w:rFonts w:ascii="Arial" w:cs="Arial" w:eastAsia="Arial" w:hAnsi="Arial"/>
          <w:b/>
          <w:bCs/>
          <w:caps w:val="false"/>
          <w:color w:val="1B3A5C"/>
          <w:sz w:val="28"/>
          <w:szCs w:val="28"/>
        </w:rPr>
        <w:t xml:space="preserve">Presenting SMS Capability in Government RFP Responses</w:t>
      </w:r>
    </w:p>
    <w:p>
      <w:pPr>
        <w:spacing w:after="80" w:before="200"/>
      </w:pPr>
      <w:r>
        <w:rPr>
          <w:rFonts w:ascii="Arial" w:cs="Arial" w:eastAsia="Arial" w:hAnsi="Arial"/>
          <w:b/>
          <w:bCs/>
          <w:caps w:val="false"/>
          <w:color w:val="1B3A5C"/>
          <w:sz w:val="22"/>
          <w:szCs w:val="22"/>
        </w:rPr>
        <w:t xml:space="preserve">Executive Summary Strategy</w:t>
      </w:r>
    </w:p>
    <w:p>
      <w:pPr>
        <w:spacing w:after="160" w:line="320"/>
        <w:jc w:val="both"/>
      </w:pPr>
      <w:r>
        <w:rPr>
          <w:rFonts w:ascii="Georgia" w:cs="Georgia" w:eastAsia="Georgia" w:hAnsi="Georgia"/>
          <w:b w:val="false"/>
          <w:bCs w:val="false"/>
          <w:color w:val="111827"/>
          <w:sz w:val="22"/>
          <w:szCs w:val="22"/>
        </w:rPr>
        <w:t xml:space="preserve">The executive summary of an RFP response should lead with ISO 20000 certification as the headline service management credential. For example: "Our firm holds ISO 20000 certification (current scope: enterprise IT service management for financial services and government sectors). Our certified SMS has successfully delivered services to 15 government agencies and 20+ financial services clients over the past 5 years. Our historical incident response times exceed government SLA requirements: 95% of Priority 1 incidents resolved within 4 hours; average incident resolution time 18 hours."</w:t>
      </w:r>
    </w:p>
    <w:p>
      <w:pPr>
        <w:spacing w:after="160" w:line="320"/>
        <w:jc w:val="both"/>
      </w:pPr>
      <w:r>
        <w:rPr>
          <w:rFonts w:ascii="Georgia" w:cs="Georgia" w:eastAsia="Georgia" w:hAnsi="Georgia"/>
          <w:b w:val="false"/>
          <w:bCs w:val="false"/>
          <w:color w:val="111827"/>
          <w:sz w:val="22"/>
          <w:szCs w:val="22"/>
        </w:rPr>
        <w:t xml:space="preserve">This positioning immediately establishes service management credibility with government evaluators who understand that ISO 20000 certification represents independently verified SMS capability.</w:t>
      </w:r>
    </w:p>
    <w:p>
      <w:pPr>
        <w:spacing w:after="80" w:before="200"/>
      </w:pPr>
      <w:r>
        <w:rPr>
          <w:rFonts w:ascii="Arial" w:cs="Arial" w:eastAsia="Arial" w:hAnsi="Arial"/>
          <w:b/>
          <w:bCs/>
          <w:caps w:val="false"/>
          <w:color w:val="1B3A5C"/>
          <w:sz w:val="22"/>
          <w:szCs w:val="22"/>
        </w:rPr>
        <w:t xml:space="preserve">SMS Description Section</w:t>
      </w:r>
    </w:p>
    <w:p>
      <w:pPr>
        <w:spacing w:after="160" w:line="320"/>
        <w:jc w:val="both"/>
      </w:pPr>
      <w:r>
        <w:rPr>
          <w:rFonts w:ascii="Georgia" w:cs="Georgia" w:eastAsia="Georgia" w:hAnsi="Georgia"/>
          <w:b w:val="false"/>
          <w:bCs w:val="false"/>
          <w:color w:val="111827"/>
          <w:sz w:val="22"/>
          <w:szCs w:val="22"/>
        </w:rPr>
        <w:t xml:space="preserve">The technical response should include a clear SMS description section that explains how the SMS works — scope, governance structure, practices, performance measurement, and improvement processes. This section should be non-technical, written for government procurement officers who may not be IT specialists.</w:t>
      </w:r>
    </w:p>
    <w:p>
      <w:pPr>
        <w:spacing w:after="160" w:line="320"/>
        <w:jc w:val="both"/>
      </w:pPr>
      <w:r>
        <w:rPr>
          <w:rFonts w:ascii="Georgia" w:cs="Georgia" w:eastAsia="Georgia" w:hAnsi="Georgia"/>
          <w:b w:val="false"/>
          <w:bCs w:val="false"/>
          <w:color w:val="111827"/>
          <w:sz w:val="22"/>
          <w:szCs w:val="22"/>
        </w:rPr>
        <w:t xml:space="preserve">Example structure: "Our Service Management System (SMS) is certified to ISO 20000 standard and covers IT services to government agencies in the areas of network management, managed servers, and managed security services. Our SMS is governed by a Service Management Office (SMO) led by the CIO, with representatives from IT operations, security, and customer account management. Our SMS practices include incident management (detect, categorize, escalate, resolve), change management (request, evaluate, authorize, test, deploy, review), availability management (monitor, report, improve), and service continuity planning (plan, test, maintain)."</w:t>
      </w:r>
    </w:p>
    <w:p>
      <w:pPr>
        <w:spacing w:after="160" w:line="320"/>
        <w:jc w:val="both"/>
      </w:pPr>
      <w:r>
        <w:rPr>
          <w:rFonts w:ascii="Georgia" w:cs="Georgia" w:eastAsia="Georgia" w:hAnsi="Georgia"/>
          <w:b w:val="false"/>
          <w:bCs w:val="false"/>
          <w:color w:val="111827"/>
          <w:sz w:val="22"/>
          <w:szCs w:val="22"/>
        </w:rPr>
        <w:t xml:space="preserve">Each SMS element should be connected to the specific service requirements in the tender. For example: "Your requirement for incident response within 4 hours for Priority 1 incidents is supported by our incident management practice, which prioritizes and escalates incidents automatically based on severity classification and customer SLA."</w:t>
      </w:r>
    </w:p>
    <w:p>
      <w:pPr>
        <w:spacing w:after="80" w:before="200"/>
      </w:pPr>
      <w:r>
        <w:rPr>
          <w:rFonts w:ascii="Arial" w:cs="Arial" w:eastAsia="Arial" w:hAnsi="Arial"/>
          <w:b/>
          <w:bCs/>
          <w:caps w:val="false"/>
          <w:color w:val="1B3A5C"/>
          <w:sz w:val="22"/>
          <w:szCs w:val="22"/>
        </w:rPr>
        <w:t xml:space="preserve">SLA Proposal Based on Performance Data</w:t>
      </w:r>
    </w:p>
    <w:p>
      <w:pPr>
        <w:spacing w:after="160" w:line="320"/>
        <w:jc w:val="both"/>
      </w:pPr>
      <w:r>
        <w:rPr>
          <w:rFonts w:ascii="Georgia" w:cs="Georgia" w:eastAsia="Georgia" w:hAnsi="Georgia"/>
          <w:b w:val="false"/>
          <w:bCs w:val="false"/>
          <w:color w:val="111827"/>
          <w:sz w:val="22"/>
          <w:szCs w:val="22"/>
        </w:rPr>
        <w:t xml:space="preserve">Government tenders typically request that tenderers propose SLA targets for services described in the tender. SLA proposals should be grounded in actual historical performance data from past projects, not aspirational targets. A certified SMS generates documented historical performance data that makes credible SLA proposals.</w:t>
      </w:r>
    </w:p>
    <w:p>
      <w:pPr>
        <w:spacing w:after="160" w:line="320"/>
        <w:jc w:val="both"/>
      </w:pPr>
      <w:r>
        <w:rPr>
          <w:rFonts w:ascii="Georgia" w:cs="Georgia" w:eastAsia="Georgia" w:hAnsi="Georgia"/>
          <w:b w:val="false"/>
          <w:bCs w:val="false"/>
          <w:color w:val="111827"/>
          <w:sz w:val="22"/>
          <w:szCs w:val="22"/>
        </w:rPr>
        <w:t xml:space="preserve">Example: "Based on incident response performance data from our past government projects (15 agencies, 36 months of historical data), our average Priority 1 incident response time is 2.5 hours. We propose SLA: Priority 1 incident response within 4 hours (99% compliance), Priority 2 within 8 hours (95% compliance), Priority 3 within 24 hours (95% compliance). Our historical achievement of these targets across similar environments gives us high confidence in meeting the proposed SLA."</w:t>
      </w:r>
    </w:p>
    <w:p>
      <w:pPr>
        <w:pBdr>
          <w:bottom w:val="single" w:color="2563A8" w:sz="4" w:space="4"/>
        </w:pBdr>
        <w:spacing w:after="160" w:before="400"/>
      </w:pPr>
      <w:r>
        <w:rPr>
          <w:rFonts w:ascii="Arial" w:cs="Arial" w:eastAsia="Arial" w:hAnsi="Arial"/>
          <w:b/>
          <w:bCs/>
          <w:caps w:val="false"/>
          <w:color w:val="1B3A5C"/>
          <w:sz w:val="28"/>
          <w:szCs w:val="28"/>
        </w:rPr>
        <w:t xml:space="preserve">Incident Management for Government Clients</w:t>
      </w:r>
    </w:p>
    <w:p>
      <w:pPr>
        <w:spacing w:after="160" w:line="320"/>
        <w:jc w:val="both"/>
      </w:pPr>
      <w:r>
        <w:rPr>
          <w:rFonts w:ascii="Georgia" w:cs="Georgia" w:eastAsia="Georgia" w:hAnsi="Georgia"/>
          <w:b w:val="false"/>
          <w:bCs w:val="false"/>
          <w:color w:val="111827"/>
          <w:sz w:val="22"/>
          <w:szCs w:val="22"/>
        </w:rPr>
        <w:t xml:space="preserve">Government RFP responses should specifically address incident management procedures for government clients, as this is a heightened concern post-PDNS. The response should describe:</w:t>
      </w:r>
    </w:p>
    <w:p>
      <w:pPr>
        <w:spacing w:after="160" w:line="320"/>
        <w:jc w:val="both"/>
      </w:pPr>
      <w:r>
        <w:rPr>
          <w:rFonts w:ascii="Georgia" w:cs="Georgia" w:eastAsia="Georgia" w:hAnsi="Georgia"/>
          <w:b w:val="false"/>
          <w:bCs w:val="false"/>
          <w:color w:val="111827"/>
          <w:sz w:val="22"/>
          <w:szCs w:val="22"/>
        </w:rPr>
        <w:t xml:space="preserve">Incident detection mechanisms (24x7 monitoring; customer-initiated reports; automated alerts). Incident detection that is responsive to government working hours and that integrates with government IT operations.</w:t>
      </w:r>
    </w:p>
    <w:p>
      <w:pPr>
        <w:spacing w:after="160" w:line="320"/>
        <w:jc w:val="both"/>
      </w:pPr>
      <w:r>
        <w:rPr>
          <w:rFonts w:ascii="Georgia" w:cs="Georgia" w:eastAsia="Georgia" w:hAnsi="Georgia"/>
          <w:b w:val="false"/>
          <w:bCs w:val="false"/>
          <w:color w:val="111827"/>
          <w:sz w:val="22"/>
          <w:szCs w:val="22"/>
        </w:rPr>
        <w:t xml:space="preserve">Escalation procedures aligned to government hierarchies (IT operations team → IT Director → Agency Executive). Incident escalation that reflects government organizational structure and that recognizes political sensitivity of major IT incidents.</w:t>
      </w:r>
    </w:p>
    <w:p>
      <w:pPr>
        <w:spacing w:after="160" w:line="320"/>
        <w:jc w:val="both"/>
      </w:pPr>
      <w:r>
        <w:rPr>
          <w:rFonts w:ascii="Georgia" w:cs="Georgia" w:eastAsia="Georgia" w:hAnsi="Georgia"/>
          <w:b w:val="false"/>
          <w:bCs w:val="false"/>
          <w:color w:val="111827"/>
          <w:sz w:val="22"/>
          <w:szCs w:val="22"/>
        </w:rPr>
        <w:t xml:space="preserve">Customer communication protocols. Major incident communication plan that includes notifications to government IT staff, executive management, and potentially to internal government audit or OJK supervisors if the agency is regulated.</w:t>
      </w:r>
    </w:p>
    <w:p>
      <w:pPr>
        <w:spacing w:after="160" w:line="320"/>
        <w:jc w:val="both"/>
      </w:pPr>
      <w:r>
        <w:rPr>
          <w:rFonts w:ascii="Georgia" w:cs="Georgia" w:eastAsia="Georgia" w:hAnsi="Georgia"/>
          <w:b w:val="false"/>
          <w:bCs w:val="false"/>
          <w:color w:val="111827"/>
          <w:sz w:val="22"/>
          <w:szCs w:val="22"/>
        </w:rPr>
        <w:t xml:space="preserve">Incident resolution and root cause analysis. Commitment to root cause analysis completion within defined timeframes; corrective action tracking to closure.</w:t>
      </w:r>
    </w:p>
    <w:p>
      <w:pPr>
        <w:pBdr>
          <w:bottom w:val="single" w:color="2563A8" w:sz="4" w:space="4"/>
        </w:pBdr>
        <w:spacing w:after="160" w:before="400"/>
      </w:pPr>
      <w:r>
        <w:rPr>
          <w:rFonts w:ascii="Arial" w:cs="Arial" w:eastAsia="Arial" w:hAnsi="Arial"/>
          <w:b/>
          <w:bCs/>
          <w:caps w:val="false"/>
          <w:color w:val="1B3A5C"/>
          <w:sz w:val="28"/>
          <w:szCs w:val="28"/>
        </w:rPr>
        <w:t xml:space="preserve">Maintaining Government Contracts</w:t>
      </w:r>
    </w:p>
    <w:p>
      <w:pPr>
        <w:spacing w:after="160" w:line="320"/>
        <w:jc w:val="both"/>
      </w:pPr>
      <w:r>
        <w:rPr>
          <w:rFonts w:ascii="Georgia" w:cs="Georgia" w:eastAsia="Georgia" w:hAnsi="Georgia"/>
          <w:b w:val="false"/>
          <w:bCs w:val="false"/>
          <w:color w:val="111827"/>
          <w:sz w:val="22"/>
          <w:szCs w:val="22"/>
        </w:rPr>
        <w:t xml:space="preserve">Winning a government contract is the first step; retaining it is the objective. Government contract performance is evaluated through ongoing SLA compliance, incident management quality, change management discipline, and service review participation.</w:t>
      </w:r>
    </w:p>
    <w:p>
      <w:pPr>
        <w:spacing w:after="160" w:line="320"/>
        <w:jc w:val="both"/>
      </w:pPr>
      <w:r>
        <w:rPr>
          <w:rFonts w:ascii="Georgia" w:cs="Georgia" w:eastAsia="Georgia" w:hAnsi="Georgia"/>
          <w:b w:val="false"/>
          <w:bCs w:val="false"/>
          <w:color w:val="111827"/>
          <w:sz w:val="22"/>
          <w:szCs w:val="22"/>
        </w:rPr>
        <w:t xml:space="preserve">The SMS supports contract performance through monthly SLA reporting to government clients demonstrating metric achievement, service review meetings conducted on schedule with documented action tracking, incident management generating transparent incident records and root cause analysis reports, change management maintaining discipline and customer communication.</w:t>
      </w:r>
    </w:p>
    <w:p>
      <w:pPr>
        <w:spacing w:after="160" w:line="320"/>
        <w:jc w:val="both"/>
      </w:pPr>
      <w:r>
        <w:rPr>
          <w:rFonts w:ascii="Georgia" w:cs="Georgia" w:eastAsia="Georgia" w:hAnsi="Georgia"/>
          <w:b w:val="false"/>
          <w:bCs w:val="false"/>
          <w:color w:val="111827"/>
          <w:sz w:val="22"/>
          <w:szCs w:val="22"/>
        </w:rPr>
        <w:t xml:space="preserve">A provider with a strong SMS track record is significantly more likely to be renewed at contract expiration. Government procurement officers remember quality service delivery and are more likely to approve contract renewal to an incumbent provider with demonstrated SMS discipline than to competitively bid a contract to new vendors.</w:t>
      </w:r>
    </w:p>
    <w:p>
      <w:pPr>
        <w:pBdr>
          <w:bottom w:val="single" w:color="2563A8" w:sz="4" w:space="4"/>
        </w:pBdr>
        <w:spacing w:after="160" w:before="400"/>
      </w:pPr>
      <w:r>
        <w:rPr>
          <w:rFonts w:ascii="Arial" w:cs="Arial" w:eastAsia="Arial" w:hAnsi="Arial"/>
          <w:b/>
          <w:bCs/>
          <w:caps w:val="false"/>
          <w:color w:val="1B3A5C"/>
          <w:sz w:val="28"/>
          <w:szCs w:val="28"/>
        </w:rPr>
        <w:t xml:space="preserve">The Post-Certification Government Market</w:t>
      </w:r>
    </w:p>
    <w:p>
      <w:pPr>
        <w:spacing w:after="160" w:line="320"/>
        <w:jc w:val="both"/>
      </w:pPr>
      <w:r>
        <w:rPr>
          <w:rFonts w:ascii="Georgia" w:cs="Georgia" w:eastAsia="Georgia" w:hAnsi="Georgia"/>
          <w:b w:val="false"/>
          <w:bCs w:val="false"/>
          <w:color w:val="111827"/>
          <w:sz w:val="22"/>
          <w:szCs w:val="22"/>
        </w:rPr>
        <w:t xml:space="preserve">ISO 20000 certification opens access to government procurement that was previously unavailable to uncertified competitors. In the 12-24 months post-certification, a provider should expect:</w:t>
      </w:r>
    </w:p>
    <w:p>
      <w:pPr>
        <w:spacing w:after="160" w:line="320"/>
        <w:jc w:val="both"/>
      </w:pPr>
      <w:r>
        <w:rPr>
          <w:rFonts w:ascii="Georgia" w:cs="Georgia" w:eastAsia="Georgia" w:hAnsi="Georgia"/>
          <w:b w:val="false"/>
          <w:bCs w:val="false"/>
          <w:color w:val="111827"/>
          <w:sz w:val="22"/>
          <w:szCs w:val="22"/>
        </w:rPr>
        <w:t xml:space="preserve">Increased government tender visibility as SIKAP search filters recognize the certification. Government procurement officers searching SIKAP for "IT service providers with ISO 20000 certification" will find the certified provider; uncertified competitors won't appear in the results.</w:t>
      </w:r>
    </w:p>
    <w:p>
      <w:pPr>
        <w:spacing w:after="160" w:line="320"/>
        <w:jc w:val="both"/>
      </w:pPr>
      <w:r>
        <w:rPr>
          <w:rFonts w:ascii="Georgia" w:cs="Georgia" w:eastAsia="Georgia" w:hAnsi="Georgia"/>
          <w:b w:val="false"/>
          <w:bCs w:val="false"/>
          <w:color w:val="111827"/>
          <w:sz w:val="22"/>
          <w:szCs w:val="22"/>
        </w:rPr>
        <w:t xml:space="preserve">Improved government procurement success rates. Of tenders participated in, the provider should see higher win rates than pre-certification, as certification eliminates disqualification risk and improves technical evaluation scoring.</w:t>
      </w:r>
    </w:p>
    <w:p>
      <w:pPr>
        <w:spacing w:after="160" w:line="320"/>
        <w:jc w:val="both"/>
      </w:pPr>
      <w:r>
        <w:rPr>
          <w:rFonts w:ascii="Georgia" w:cs="Georgia" w:eastAsia="Georgia" w:hAnsi="Georgia"/>
          <w:b w:val="false"/>
          <w:bCs w:val="false"/>
          <w:color w:val="111827"/>
          <w:sz w:val="22"/>
          <w:szCs w:val="22"/>
        </w:rPr>
        <w:t xml:space="preserve">Increased government client base and contract portfolio. As the provider wins more government contracts, government client references improve, strengthening future government procurement proposals.</w:t>
      </w:r>
    </w:p>
    <w:p>
      <w:pPr>
        <w:spacing w:after="160" w:line="320"/>
        <w:jc w:val="both"/>
      </w:pPr>
      <w:r>
        <w:rPr>
          <w:rFonts w:ascii="Georgia" w:cs="Georgia" w:eastAsia="Georgia" w:hAnsi="Georgia"/>
          <w:b w:val="false"/>
          <w:bCs w:val="false"/>
          <w:color w:val="111827"/>
          <w:sz w:val="22"/>
          <w:szCs w:val="22"/>
        </w:rPr>
        <w:t xml:space="preserve">At contract renewal, documented SMS performance data (SLA achievement, improvement register entries, satisfaction scores) demonstrates ongoing value. Government procurement officers are more likely to approve contract renewal to a provider with demonstrated SMS quality than to competitively bid to new vendors. This improves contract retention and increases customer lifetime value.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Government procurement evaluators are increasingly sophisticated about IT service management. A tender response that simply states "we follow ITIL" without a certified SMS or performance evidence is progressively less competitive against rivals with ISO 20000 certification.</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Tender responses must align the SMS scope with the specific services being tendered. A certificate covering different services than those in the tender scope is not evidence of SMS capability for those services. Scope expansion or new certification may be needed to cover new service lines.</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pre-formatted SMS capability documentation packages suitable for government RFP responses, including SMS governance summaries, SLA performance extracts, and ISO 20000 compliance attestation letters.</w:t>
            </w:r>
          </w:p>
        </w:tc>
      </w:tr>
    </w:tbl>
    <w:p>
      <w:pPr>
        <w:pBdr>
          <w:bottom w:val="single" w:color="2563A8" w:sz="4" w:space="4"/>
        </w:pBdr>
        <w:spacing w:after="160" w:before="400"/>
      </w:pPr>
      <w:r>
        <w:rPr>
          <w:rFonts w:ascii="Arial" w:cs="Arial" w:eastAsia="Arial" w:hAnsi="Arial"/>
          <w:b/>
          <w:bCs/>
          <w:caps w:val="false"/>
          <w:color w:val="1B3A5C"/>
          <w:sz w:val="28"/>
          <w:szCs w:val="28"/>
        </w:rPr>
        <w:t xml:space="preserve">Government Tender Evaluation Criteria for IT Service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Criterion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What Evaluators Look For</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Evidence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Tender Response Strategy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IT Service Management Certification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Pass/fail or weighted scoring on IT service management credential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ISO 20000 certificate with scope clearly covering tendered services; certificate currency and audit compliance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Lead with certification in executive summary; provide certificate copy; cross-reference scope to tender services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 Methodology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procedure; response time SLAs; timeliness metrics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Certified SMS incident management procedure; historical incident performance data; root cause analysis examples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Describe procedure; provide concrete examples from past government projects; cite historical achievement metrics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Management Discipline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authorization process; impact assessment; testing; rollback</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management procedure; change logs from past projects; pre-implementation testing evidence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Describe change process; show examples of high-risk changes managed; demonstrate testing and validation</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Configuration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or equivalent; asset inventory; baseline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CMDB screenshots; CI relationship diagrams; baseline snapshots showing management discipline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Describe CMDB structure; demonstrate asset visibility; explain how CMDB supports change and incident management</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Continuity Planning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RTO/RPO commitment; disaster recovery testing; documented procedures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Business continuity plan; recent DR test results; RTO/RPO commitments met in past projects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Describe continuity plan; provide DR test results; cite RTO/RPO achievements from past government projects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Level Management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definition; achievement tracking; reporting to government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templates; historical achievement data; monthly/quarterly SLA reports from past government clients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Propose realistic SLA targets grounded in historical data; describe monthly SLA reporting; reference government client satisfaction</w:t>
            </w:r>
          </w:p>
        </w:tc>
      </w:tr>
    </w:tbl>
    <w:p>
      <w:pPr>
        <w:pBdr>
          <w:bottom w:val="single" w:color="2563A8" w:sz="4" w:space="4"/>
        </w:pBdr>
        <w:spacing w:after="160" w:before="400"/>
      </w:pPr>
      <w:r>
        <w:rPr>
          <w:rFonts w:ascii="Arial" w:cs="Arial" w:eastAsia="Arial" w:hAnsi="Arial"/>
          <w:b/>
          <w:bCs/>
          <w:caps w:val="false"/>
          <w:color w:val="1B3A5C"/>
          <w:sz w:val="28"/>
          <w:szCs w:val="28"/>
        </w:rPr>
        <w:t xml:space="preserve">Government Client SMS Adaptation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Government-Specific Requirement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Standard MSP Approach</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Government-Adapted Approach</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Documentation Required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escalation to government executives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Escalate to customer's IT Director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Escalate additionally to agency head / ministry leadership if major incident affects core government services; include executive communication template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Government-specific escalation matrix; executive contact list; communication templates for government leadership</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Audit rights and audit frequency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Standard annual external audit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Government clients reserve right to audit in addition to external certification audit; contract limits audit frequency/burden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 rights clause in SLA; proposal for how certification audit can satisfy some audit requirements; audit cooperation procedures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window accommodations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Standard business hours + after-hours options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Government change windows may be limited to pre-announced times; coordinate with inter-agency dependencies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Change window policy noting government constraints; change planning procedures showing coordination; documented change calendar</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Data sovereignty and residency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Global cloud infrastructure acceptable</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Government clients require data residency in Indonesia; no cross-border data transfer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residency clause in SLA; infrastructure topology showing Indonesia-only deployment; encryption and access control ensuring no external access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reporting to regulators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Customer handles regulatory reporting</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If government customer is OJK-regulated financial institution, IT service provider must support customer's regulatory reporting; provide incident data as needed for regulatory filings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Procedure for regulatory reporting support; templates for incident data extraction for regulatory submission; timelines aligned to OJK requirements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Inter-agency coordination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Single customer coordination</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Government services may depend on other agencies' systems; incident response may require inter-agency communication; service management must account for dependencies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dependency documentation; inter-agency escalation procedures; communication plans involving multiple agencies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2026-04-05T10:01:33.789Z</dcterms:created>
  <dcterms:modified xsi:type="dcterms:W3CDTF">2026-04-05T10:01:33.789Z</dcterms:modified>
</cp:coreProperties>
</file>

<file path=docProps/custom.xml><?xml version="1.0" encoding="utf-8"?>
<Properties xmlns="http://schemas.openxmlformats.org/officeDocument/2006/custom-properties" xmlns:vt="http://schemas.openxmlformats.org/officeDocument/2006/docPropsVTypes"/>
</file>